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0"/>
        <w:gridCol w:w="2880"/>
      </w:tblGrid>
      <w:tr>
        <w:tc>
          <w:tcPr>
            <w:tcW w:type="dxa" w:w="4968"/>
          </w:tcPr>
          <w:p>
            <w:pPr>
              <w:spacing w:after="40"/>
            </w:pPr>
            <w:r>
              <w:rPr>
                <w:rFonts w:ascii="Calibri" w:hAnsi="Calibri"/>
                <w:b/>
                <w:color w:val="7C3AED"/>
                <w:sz w:val="18"/>
              </w:rPr>
              <w:t>OIDANEOS ACADEMY • CERTIFICATION PASI (217H)</w:t>
              <w:br/>
            </w:r>
            <w:r>
              <w:rPr>
                <w:rFonts w:ascii="Calibri" w:hAnsi="Calibri"/>
                <w:b/>
                <w:color w:val="0F172A"/>
                <w:sz w:val="28"/>
              </w:rPr>
              <w:t>FICHE DE RÉVISION ASYNCHRONE — SÉQUENCE S06</w:t>
              <w:br/>
            </w:r>
            <w:r>
              <w:rPr>
                <w:rFonts w:ascii="Calibri" w:hAnsi="Calibri"/>
                <w:color w:val="475569"/>
                <w:sz w:val="22"/>
              </w:rPr>
              <w:t>Veille Technologique &amp; Règlementaire en Cybersécurité</w:t>
            </w:r>
          </w:p>
        </w:tc>
        <w:tc>
          <w:tcPr>
            <w:tcW w:type="dxa" w:w="4968"/>
          </w:tcPr>
          <w:p>
            <w:pPr>
              <w:spacing w:after="40"/>
              <w:jc w:val="right"/>
            </w:pPr>
            <w:r>
              <w:rPr>
                <w:rFonts w:ascii="Calibri" w:hAnsi="Calibri"/>
                <w:b/>
                <w:color w:val="334155"/>
                <w:sz w:val="18"/>
              </w:rPr>
              <w:t>Bloc : Bloc 1 : Fondamentaux &amp; Bloc 2 : Supervision (42h + 70h)</w:t>
              <w:br/>
            </w:r>
            <w:r>
              <w:rPr>
                <w:rFonts w:ascii="Calibri" w:hAnsi="Calibri"/>
                <w:b/>
                <w:color w:val="DB2777"/>
                <w:sz w:val="18"/>
              </w:rPr>
              <w:t>Compétences : C10 (Veille Stratégique, Technique, Juridique &amp; Renseignement CTI)</w:t>
              <w:br/>
            </w:r>
            <w:r>
              <w:rPr>
                <w:rFonts w:ascii="Calibri" w:hAnsi="Calibri"/>
                <w:color w:val="64748B"/>
                <w:sz w:val="17"/>
              </w:rPr>
              <w:t>Format : E-Learning &amp; Vidéos</w:t>
            </w:r>
          </w:p>
        </w:tc>
      </w:tr>
    </w:tbl>
    <w:p/>
    <w:p>
      <w:pPr>
        <w:pStyle w:val="Heading2"/>
        <w:spacing w:before="160" w:after="80"/>
      </w:pPr>
      <w:r>
        <w:rPr>
          <w:rFonts w:ascii="Calibri" w:hAnsi="Calibri"/>
          <w:b/>
          <w:color w:val="4C1D95"/>
          <w:sz w:val="26"/>
        </w:rPr>
        <w:t>1. Résumé Exécutif &amp; Cadrage Pédagogique</w:t>
      </w:r>
    </w:p>
    <w:p>
      <w:pPr>
        <w:spacing w:after="120" w:line="276" w:lineRule="auto"/>
      </w:pPr>
      <w:r>
        <w:rPr>
          <w:rFonts w:ascii="Calibri" w:hAnsi="Calibri"/>
          <w:color w:val="1E293B"/>
          <w:sz w:val="21"/>
        </w:rPr>
        <w:t>La séquence S06 structure la démarche de veille cybernétique continue : surveillance des vulnérabilités (CVE/NVD), exploitation des flux CERT-FR, intégration de la Threat Intelligence (CTI / MITRE ATT&amp;CK), conformité aux directives européennes (NIS 2, DORA) et réglementation nationale.</w:t>
      </w:r>
    </w:p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2. Notions Essentielles &amp; Fondamentaux Clés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Objectifs &amp; Typologie de la Veille : </w:t>
      </w:r>
      <w:r>
        <w:rPr>
          <w:rFonts w:ascii="Calibri" w:hAnsi="Calibri"/>
          <w:color w:val="334155"/>
          <w:sz w:val="20"/>
        </w:rPr>
        <w:t>Veille de vulnérabilité (failles sur nos logiciels/équipements), veille sur la menace (techniques des attaquants), veille technologique (solutions innovantes) et veille juridique/réglementaire (nouvelles obligations légales).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Sources Officielles &amp; Outils de Veille : </w:t>
      </w:r>
      <w:r>
        <w:rPr>
          <w:rFonts w:ascii="Calibri" w:hAnsi="Calibri"/>
          <w:color w:val="334155"/>
          <w:sz w:val="20"/>
        </w:rPr>
        <w:t>Bulletins d'alerte et avis de sécurité du CERT-FR / ANSSI, flux RSS de l'INCD/NIST NVD, bases CVE de MITRE, plateformes de partage d'IoC (MISP, AlienVault OTX).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Cyber Threat Intelligence (CTI) : </w:t>
      </w:r>
      <w:r>
        <w:rPr>
          <w:rFonts w:ascii="Calibri" w:hAnsi="Calibri"/>
          <w:color w:val="334155"/>
          <w:sz w:val="20"/>
        </w:rPr>
        <w:t>Pyramide de la douleur (Pyramid of Pain de David Bianco), framework MITRE ATT&amp;CK pour modéliser les tactiques, techniques et procédures (TTPs) des groupes d'attaquants.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Cadre Règlementaire Européen &amp; National : </w:t>
      </w:r>
      <w:r>
        <w:rPr>
          <w:rFonts w:ascii="Calibri" w:hAnsi="Calibri"/>
          <w:color w:val="334155"/>
          <w:sz w:val="20"/>
        </w:rPr>
        <w:t>Directive NIS 2 (renforcement des obligations cyber pour les entités essentielles et importantes), Règlement DORA (résilience opérationnelle numérique du secteur financier), RGPD (articles 32, 33 et 34 relatifs à la sécurité et notifications de violations).</w:t>
      </w:r>
    </w:p>
    <w:p>
      <w:pPr>
        <w:pStyle w:val="ListBullet"/>
        <w:spacing w:after="60" w:line="276" w:lineRule="auto"/>
      </w:pPr>
      <w:r>
        <w:rPr>
          <w:rFonts w:ascii="Calibri" w:hAnsi="Calibri"/>
          <w:b/>
          <w:color w:val="0F172A"/>
          <w:sz w:val="20"/>
        </w:rPr>
        <w:t xml:space="preserve">Cycle d'Exploitation &amp; Diffusion de la Veille : </w:t>
      </w:r>
      <w:r>
        <w:rPr>
          <w:rFonts w:ascii="Calibri" w:hAnsi="Calibri"/>
          <w:color w:val="334155"/>
          <w:sz w:val="20"/>
        </w:rPr>
        <w:t>Collecte → Qualification de la pertinence pour notre SI → Évaluation de l'impact et du risque → Plan d'action correctif (patch, règle de filtrage) → Diffusion d'une note de synthèse à la direction et aux équipes techniques.</w:t>
      </w:r>
    </w:p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3. Synthèse Opérationnelle par Capsule Vidéo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6192"/>
      </w:tblGrid>
      <w:tr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Capsule Vidéo</w:t>
            </w:r>
          </w:p>
        </w:tc>
        <w:tc>
          <w:tcPr>
            <w:tcW w:type="dxa" w:w="4968"/>
            <w:shd w:fill="4C1D95"/>
            <w:tcMar>
              <w:top w:w="100" w:type="dxa"/>
              <w:bottom w:w="100" w:type="dxa"/>
              <w:left w:w="120" w:type="dxa"/>
              <w:right w:w="120" w:type="dxa"/>
            </w:tcMar>
          </w:tcPr>
          <w:p>
            <w:r>
              <w:rPr>
                <w:rFonts w:ascii="Calibri" w:hAnsi="Calibri"/>
                <w:b/>
                <w:color w:val="FFFFFF"/>
                <w:sz w:val="19"/>
              </w:rPr>
              <w:t>Objectifs &amp; Enseignements Clés</w:t>
            </w:r>
          </w:p>
        </w:tc>
      </w:tr>
      <w:tr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0F172A"/>
                <w:sz w:val="19"/>
              </w:rPr>
              <w:t>Supports de cours S06</w:t>
            </w:r>
          </w:p>
        </w:tc>
        <w:tc>
          <w:tcPr>
            <w:tcW w:type="dxa" w:w="4968"/>
            <w:shd w:fill="F8FAFC"/>
            <w:tcMar>
              <w:top w:w="80" w:type="dxa"/>
              <w:bottom w:w="80" w:type="dxa"/>
              <w:left w:w="120" w:type="dxa"/>
              <w:right w:w="120" w:type="dxa"/>
            </w:tcMar>
          </w:tcPr>
          <w:p>
            <w:pPr>
              <w:spacing w:after="0" w:line="264" w:lineRule="auto"/>
            </w:pPr>
            <w:r>
              <w:rPr>
                <w:rFonts w:ascii="Calibri" w:hAnsi="Calibri"/>
                <w:color w:val="334155"/>
                <w:sz w:val="19"/>
              </w:rPr>
              <w:t>Méthodologie opérationnelle de veille, automatisation de la collecte de bulletins de sécurité, construction d'un tableau de veille hebdomadaire et suivi des évolutions de la directive NIS 2.</w:t>
            </w:r>
          </w:p>
        </w:tc>
      </w:tr>
    </w:tbl>
    <w:p/>
    <w:p>
      <w:pPr>
        <w:pStyle w:val="Heading2"/>
        <w:spacing w:before="200" w:after="80"/>
      </w:pPr>
      <w:r>
        <w:rPr>
          <w:rFonts w:ascii="Calibri" w:hAnsi="Calibri"/>
          <w:b/>
          <w:color w:val="4C1D95"/>
          <w:sz w:val="26"/>
        </w:rPr>
        <w:t>4. Recommandations Pratiques &amp; Standards Professionnels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Créer un tableau de bord de veille personnalisé recensant les briques logicielles et matérielles déployées dans l'entreprise.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Traiter sous 24h les avis CERT-FR qualifiés de niveau « Urgent » ou « Critique ».</w:t>
      </w:r>
    </w:p>
    <w:p>
      <w:pPr>
        <w:pStyle w:val="ListBullet"/>
        <w:spacing w:after="60"/>
      </w:pPr>
      <w:r>
        <w:rPr>
          <w:rFonts w:ascii="Calibri" w:hAnsi="Calibri"/>
          <w:color w:val="1E293B"/>
          <w:sz w:val="20"/>
        </w:rPr>
        <w:t>Formaliser une note de synthèse mensuelle de veille pour sensibiliser le Comité de Direction aux nouvelles menaces du secteur.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936"/>
            <w:shd w:fill="F5F3FF"/>
            <w:tcMar>
              <w:top w:w="140" w:type="dxa"/>
              <w:bottom w:w="140" w:type="dxa"/>
              <w:left w:w="200" w:type="dxa"/>
              <w:right w:w="200" w:type="dxa"/>
            </w:tcMar>
            <w:tcBorders>
              <w:left w:val="single" w:sz="24" w:space="0" w:color="7C3AED"/>
              <w:top w:val="none"/>
              <w:right w:val="none"/>
              <w:bottom w:val="none"/>
            </w:tcBorders>
          </w:tcPr>
          <w:p>
            <w:pPr>
              <w:spacing w:before="40" w:after="80"/>
            </w:pPr>
            <w:r>
              <w:rPr>
                <w:rFonts w:ascii="Calibri" w:hAnsi="Calibri"/>
                <w:b/>
                <w:color w:val="4C1D95"/>
                <w:sz w:val="22"/>
              </w:rPr>
              <w:t>📌 Critères de Validation pour le Jury de Certification PASI</w:t>
              <w:br/>
            </w:r>
            <w:r>
              <w:rPr>
                <w:rFonts w:ascii="Calibri" w:hAnsi="Calibri"/>
                <w:color w:val="334155"/>
                <w:sz w:val="20"/>
              </w:rPr>
              <w:t>• Démontrer la mise en place d'une routine de veille efficace et documentée.</w:t>
              <w:br/>
              <w:t>• Expliquer l'impact concret de la directive NIS 2 et du RGPD sur la gouvernance de la sécurité.</w:t>
              <w:br/>
              <w:t>• Savoir utiliser la base CVE et le score CVSS pour prioriser les actions de remédiation.</w:t>
            </w:r>
          </w:p>
        </w:tc>
      </w:tr>
    </w:tbl>
    <w:p/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