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880"/>
      </w:tblGrid>
      <w:tr>
        <w:tc>
          <w:tcPr>
            <w:tcW w:type="dxa" w:w="4968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7C3AED"/>
                <w:sz w:val="18"/>
              </w:rPr>
              <w:t>OIDANEOS ACADEMY • CERTIFICATION PASI (217H)</w:t>
              <w:br/>
            </w:r>
            <w:r>
              <w:rPr>
                <w:rFonts w:ascii="Calibri" w:hAnsi="Calibri"/>
                <w:b/>
                <w:color w:val="0F172A"/>
                <w:sz w:val="28"/>
              </w:rPr>
              <w:t>FICHE DE RÉVISION ASYNCHRONE — SÉQUENCE S05</w:t>
              <w:br/>
            </w:r>
            <w:r>
              <w:rPr>
                <w:rFonts w:ascii="Calibri" w:hAnsi="Calibri"/>
                <w:color w:val="475569"/>
                <w:sz w:val="22"/>
              </w:rPr>
              <w:t>Sécurisation des Échanges &amp; des Données</w:t>
            </w:r>
          </w:p>
        </w:tc>
        <w:tc>
          <w:tcPr>
            <w:tcW w:type="dxa" w:w="4968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34155"/>
                <w:sz w:val="18"/>
              </w:rPr>
              <w:t>Bloc : Bloc 1 : Fondamentaux &amp; Bloc 3 : Sécurisation (42h + 63h)</w:t>
              <w:br/>
            </w:r>
            <w:r>
              <w:rPr>
                <w:rFonts w:ascii="Calibri" w:hAnsi="Calibri"/>
                <w:b/>
                <w:color w:val="DB2777"/>
                <w:sz w:val="18"/>
              </w:rPr>
              <w:t>Compétences : C5 &amp; C1 (Chiffrement des Données, Certificats SSL/TLS &amp; Intégrité)</w:t>
              <w:br/>
            </w:r>
            <w:r>
              <w:rPr>
                <w:rFonts w:ascii="Calibri" w:hAnsi="Calibri"/>
                <w:color w:val="64748B"/>
                <w:sz w:val="17"/>
              </w:rPr>
              <w:t>Format : E-Learning &amp; Vidéos</w:t>
            </w:r>
          </w:p>
        </w:tc>
      </w:tr>
    </w:tbl>
    <w:p/>
    <w:p>
      <w:pPr>
        <w:pStyle w:val="Heading2"/>
        <w:spacing w:before="160" w:after="80"/>
      </w:pPr>
      <w:r>
        <w:rPr>
          <w:rFonts w:ascii="Calibri" w:hAnsi="Calibri"/>
          <w:b/>
          <w:color w:val="4C1D95"/>
          <w:sz w:val="26"/>
        </w:rPr>
        <w:t>1. Résumé Exécutif &amp; Cadrage Pédagogique</w:t>
      </w:r>
    </w:p>
    <w:p>
      <w:pPr>
        <w:spacing w:after="120" w:line="276" w:lineRule="auto"/>
      </w:pPr>
      <w:r>
        <w:rPr>
          <w:rFonts w:ascii="Calibri" w:hAnsi="Calibri"/>
          <w:color w:val="1E293B"/>
          <w:sz w:val="21"/>
        </w:rPr>
        <w:t>Cette séquence traite des mécanismes cryptographiques indispensables pour assurer la confidentialité, l'authenticité et l'intégrité des informations : chiffrement symétrique et asymétrique, infrastructure à clés publiques (PKI), certificats numériques X.509, protocoles TLS 1.3, tunnels VPN et protection des données au repos.</w:t>
      </w:r>
    </w:p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2. Notions Essentielles &amp; Fondamentaux Clés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Cryptographie Symétrique vs Asymétrique : </w:t>
      </w:r>
      <w:r>
        <w:rPr>
          <w:rFonts w:ascii="Calibri" w:hAnsi="Calibri"/>
          <w:color w:val="334155"/>
          <w:sz w:val="20"/>
        </w:rPr>
        <w:t>Symétrique (même clé secrète pour chiffrer et déchiffrer : AES-128/256, ChaCha20) — ultra-rapide, idéal pour les volumes de données. Asymétrique (bi-clé publique/privée : RSA 4096, ECC/Ed25519) — idéal pour l'échange initial de clés et la signature électronique.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Fonctions de Hachage &amp; Empreintes Numériques : </w:t>
      </w:r>
      <w:r>
        <w:rPr>
          <w:rFonts w:ascii="Calibri" w:hAnsi="Calibri"/>
          <w:color w:val="334155"/>
          <w:sz w:val="20"/>
        </w:rPr>
        <w:t>Fonctions à sens unique non réversibles (SHA-256, SHA-3) garantissant l'intégrité stricte des fichiers et messages. Rôle du salage (Salt) et de l'étirement de clé (Argon2, bcrypt) pour le stockage des mots de passe.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Infrastructure à Clés Publiques (PKI) &amp; Certificats X.509 : </w:t>
      </w:r>
      <w:r>
        <w:rPr>
          <w:rFonts w:ascii="Calibri" w:hAnsi="Calibri"/>
          <w:color w:val="334155"/>
          <w:sz w:val="20"/>
        </w:rPr>
        <w:t>Autorité de Certification (CA), certificat numérique liant une identité à une clé publique, chaîne de confiance et listes de révocation (CRL / OCSP).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Chiffrement des Flux Réseaux (Data in Transit) : </w:t>
      </w:r>
      <w:r>
        <w:rPr>
          <w:rFonts w:ascii="Calibri" w:hAnsi="Calibri"/>
          <w:color w:val="334155"/>
          <w:sz w:val="20"/>
        </w:rPr>
        <w:t>Protocole TLS 1.3 (abandon des suites cryptographiques obsolètes et du renegotiation non sécurisé), HTTPS, SFTP, protocoles VPN IPsec IKEv2 et WireGuard.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Chiffrement des Données au Repos (Data at Rest) : </w:t>
      </w:r>
      <w:r>
        <w:rPr>
          <w:rFonts w:ascii="Calibri" w:hAnsi="Calibri"/>
          <w:color w:val="334155"/>
          <w:sz w:val="20"/>
        </w:rPr>
        <w:t>Chiffrement complet du disque dur avec puce matérielle TPM (BitLocker / LUKS), chiffrement transparent des bases de données (TDE), gestion centralisée des clés via HSM / KMS.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Prévention des Pertes de Données (DLP) : </w:t>
      </w:r>
      <w:r>
        <w:rPr>
          <w:rFonts w:ascii="Calibri" w:hAnsi="Calibri"/>
          <w:color w:val="334155"/>
          <w:sz w:val="20"/>
        </w:rPr>
        <w:t>Détection automatique des transferts non autorisés de données sensibles (données bancaires, données de santé, secrets d'affaires) vers des supports externes ou le Cloud.</w:t>
      </w:r>
    </w:p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3. Synthèse Opérationnelle par Capsule Vidéo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68"/>
        <w:gridCol w:w="6192"/>
      </w:tblGrid>
      <w:tr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Capsule Vidéo</w:t>
            </w:r>
          </w:p>
        </w:tc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Objectifs &amp; Enseignements Clés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Supports de cours S05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Étude approfondie de la cryptographie moderne, des architectures PKI, de la mise en œuvre de certificats SSL/TLS et des bonnes pratiques de chiffrement des données de santé et bancaires.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4. Recommandations Pratiques &amp; Standards Professionnels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Désactiver impérativement les protocoles cryptographiques obsolètes et vulnérables : SSLv3, TLS 1.0 et TLS 1.1 sur tous les services web.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Utiliser des algorithmes recommandés par le Référentiel Général de Sécurité (RGS) de l'ANSSI : AES-256-GCM, RSA &gt;= 3072 bits, ECDSA / Ed25519.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Sauvegarder les clés privées et certificats racines dans des coffres-forts électroniques sécurisés ou modules HSM.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936"/>
            <w:shd w:fill="F5F3FF"/>
            <w:tcMar>
              <w:top w:w="140" w:type="dxa"/>
              <w:bottom w:w="140" w:type="dxa"/>
              <w:left w:w="200" w:type="dxa"/>
              <w:right w:w="200" w:type="dxa"/>
            </w:tcMar>
            <w:tcBorders>
              <w:left w:val="single" w:sz="24" w:space="0" w:color="7C3AED"/>
              <w:top w:val="none"/>
              <w:right w:val="none"/>
              <w:bottom w:val="none"/>
            </w:tcBorders>
          </w:tcPr>
          <w:p>
            <w:pPr>
              <w:spacing w:before="40" w:after="80"/>
            </w:pPr>
            <w:r>
              <w:rPr>
                <w:rFonts w:ascii="Calibri" w:hAnsi="Calibri"/>
                <w:b/>
                <w:color w:val="4C1D95"/>
                <w:sz w:val="22"/>
              </w:rPr>
              <w:t>📌 Critères de Validation pour le Jury de Certification PASI</w:t>
              <w:br/>
            </w:r>
            <w:r>
              <w:rPr>
                <w:rFonts w:ascii="Calibri" w:hAnsi="Calibri"/>
                <w:color w:val="334155"/>
                <w:sz w:val="20"/>
              </w:rPr>
              <w:t>• Expliquer la différence fondamentale entre chiffrement symétrique, chiffrement asymétrique et fonction de hachage.</w:t>
              <w:br/>
              <w:t>• Décrire le processus d'établissement d'une session sécurisée HTTPS / TLS (Handshake TLS).</w:t>
              <w:br/>
              <w:t>• Justifier le choix des solutions de chiffrement au repos et en transit pour garantir la conformité RGPD.</w:t>
            </w:r>
          </w:p>
        </w:tc>
      </w:tr>
    </w:tbl>
    <w:p/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