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480"/>
        <w:gridCol w:w="2880"/>
      </w:tblGrid>
      <w:tr>
        <w:tc>
          <w:tcPr>
            <w:tcW w:type="dxa" w:w="4968"/>
          </w:tcPr>
          <w:p>
            <w:pPr>
              <w:spacing w:after="40"/>
            </w:pPr>
            <w:r>
              <w:rPr>
                <w:rFonts w:ascii="Calibri" w:hAnsi="Calibri"/>
                <w:b/>
                <w:color w:val="7C3AED"/>
                <w:sz w:val="18"/>
              </w:rPr>
              <w:t>OIDANEOS ACADEMY • CERTIFICATION PASI (217H)</w:t>
              <w:br/>
            </w:r>
            <w:r>
              <w:rPr>
                <w:rFonts w:ascii="Calibri" w:hAnsi="Calibri"/>
                <w:b/>
                <w:color w:val="0F172A"/>
                <w:sz w:val="28"/>
              </w:rPr>
              <w:t>FICHE DE RÉVISION ASYNCHRONE — SÉQUENCE S04</w:t>
              <w:br/>
            </w:r>
            <w:r>
              <w:rPr>
                <w:rFonts w:ascii="Calibri" w:hAnsi="Calibri"/>
                <w:color w:val="475569"/>
                <w:sz w:val="22"/>
              </w:rPr>
              <w:t>Sécurisation des Systèmes &amp; Réseaux</w:t>
            </w:r>
          </w:p>
        </w:tc>
        <w:tc>
          <w:tcPr>
            <w:tcW w:type="dxa" w:w="4968"/>
          </w:tcPr>
          <w:p>
            <w:pPr>
              <w:spacing w:after="40"/>
              <w:jc w:val="right"/>
            </w:pPr>
            <w:r>
              <w:rPr>
                <w:rFonts w:ascii="Calibri" w:hAnsi="Calibri"/>
                <w:b/>
                <w:color w:val="334155"/>
                <w:sz w:val="18"/>
              </w:rPr>
              <w:t>Bloc : Bloc 1 : Fondamentaux &amp; Bloc 3 : Sécurisation (42h + 63h)</w:t>
              <w:br/>
            </w:r>
            <w:r>
              <w:rPr>
                <w:rFonts w:ascii="Calibri" w:hAnsi="Calibri"/>
                <w:b/>
                <w:color w:val="DB2777"/>
                <w:sz w:val="18"/>
              </w:rPr>
              <w:t>Compétences : C5 (Durcissement des Postes &amp; Serveurs, Contrôle d'Accès &amp; Hygiène)</w:t>
              <w:br/>
            </w:r>
            <w:r>
              <w:rPr>
                <w:rFonts w:ascii="Calibri" w:hAnsi="Calibri"/>
                <w:color w:val="64748B"/>
                <w:sz w:val="17"/>
              </w:rPr>
              <w:t>Format : E-Learning &amp; Vidéos</w:t>
            </w:r>
          </w:p>
        </w:tc>
      </w:tr>
    </w:tbl>
    <w:p/>
    <w:p>
      <w:pPr>
        <w:pStyle w:val="Heading2"/>
        <w:spacing w:before="160" w:after="80"/>
      </w:pPr>
      <w:r>
        <w:rPr>
          <w:rFonts w:ascii="Calibri" w:hAnsi="Calibri"/>
          <w:b/>
          <w:color w:val="4C1D95"/>
          <w:sz w:val="26"/>
        </w:rPr>
        <w:t>1. Résumé Exécutif &amp; Cadrage Pédagogique</w:t>
      </w:r>
    </w:p>
    <w:p>
      <w:pPr>
        <w:spacing w:after="120" w:line="276" w:lineRule="auto"/>
      </w:pPr>
      <w:r>
        <w:rPr>
          <w:rFonts w:ascii="Calibri" w:hAnsi="Calibri"/>
          <w:color w:val="1E293B"/>
          <w:sz w:val="21"/>
        </w:rPr>
        <w:t>La séquence S04 détaille les méthodes concrètes de durcissement (hardening) des systèmes d'exploitation, les protocoles de contrôle d'accès, la gestion rigoureuse des habilitations, l'application du modèle Zero Trust et la mise en œuvre des 40 règles d'or du Guide d'Hygiène de l'ANSSI.</w:t>
      </w:r>
    </w:p>
    <w:p>
      <w:pPr>
        <w:pStyle w:val="Heading2"/>
        <w:spacing w:before="200" w:after="80"/>
      </w:pPr>
      <w:r>
        <w:rPr>
          <w:rFonts w:ascii="Calibri" w:hAnsi="Calibri"/>
          <w:b/>
          <w:color w:val="4C1D95"/>
          <w:sz w:val="26"/>
        </w:rPr>
        <w:t>2. Notions Essentielles &amp; Fondamentaux Clés</w:t>
      </w:r>
    </w:p>
    <w:p>
      <w:pPr>
        <w:pStyle w:val="ListBullet"/>
        <w:spacing w:after="60" w:line="276" w:lineRule="auto"/>
      </w:pPr>
      <w:r>
        <w:rPr>
          <w:rFonts w:ascii="Calibri" w:hAnsi="Calibri"/>
          <w:b/>
          <w:color w:val="0F172A"/>
          <w:sz w:val="20"/>
        </w:rPr>
        <w:t xml:space="preserve">Contrôle d'Accès &amp; Modèles d'Habilitation : </w:t>
      </w:r>
      <w:r>
        <w:rPr>
          <w:rFonts w:ascii="Calibri" w:hAnsi="Calibri"/>
          <w:color w:val="334155"/>
          <w:sz w:val="20"/>
        </w:rPr>
        <w:t>Modèle RBAC (Role-Based Access Control) : attribution des droits selon les fonctions professionnelles strictes. Séparation stricte des comptes utilisateurs standards et des comptes d'administration.</w:t>
      </w:r>
    </w:p>
    <w:p>
      <w:pPr>
        <w:pStyle w:val="ListBullet"/>
        <w:spacing w:after="60" w:line="276" w:lineRule="auto"/>
      </w:pPr>
      <w:r>
        <w:rPr>
          <w:rFonts w:ascii="Calibri" w:hAnsi="Calibri"/>
          <w:b/>
          <w:color w:val="0F172A"/>
          <w:sz w:val="20"/>
        </w:rPr>
        <w:t xml:space="preserve">Authentification Forte &amp; Gestion des Identités : </w:t>
      </w:r>
      <w:r>
        <w:rPr>
          <w:rFonts w:ascii="Calibri" w:hAnsi="Calibri"/>
          <w:color w:val="334155"/>
          <w:sz w:val="20"/>
        </w:rPr>
        <w:t>Généralisation du MFA (TOTP, FIDO2/WebAuthn), élimination des mots de passe par défaut, politique d'entropie conforme aux recommandations CNIL/ANSSI.</w:t>
      </w:r>
    </w:p>
    <w:p>
      <w:pPr>
        <w:pStyle w:val="ListBullet"/>
        <w:spacing w:after="60" w:line="276" w:lineRule="auto"/>
      </w:pPr>
      <w:r>
        <w:rPr>
          <w:rFonts w:ascii="Calibri" w:hAnsi="Calibri"/>
          <w:b/>
          <w:color w:val="0F172A"/>
          <w:sz w:val="20"/>
        </w:rPr>
        <w:t xml:space="preserve">Durcissement des Systèmes d'Exploitation (Hardening) : </w:t>
      </w:r>
      <w:r>
        <w:rPr>
          <w:rFonts w:ascii="Calibri" w:hAnsi="Calibri"/>
          <w:color w:val="334155"/>
          <w:sz w:val="20"/>
        </w:rPr>
        <w:t>Désactivation des services, protocoles et ports non requis (SMBv1, Telnet, LLMNR, NetBIOS), application des modèles de sécurité CIS Benchmarks, restriction de l'exécution de scripts PowerShell.</w:t>
      </w:r>
    </w:p>
    <w:p>
      <w:pPr>
        <w:pStyle w:val="ListBullet"/>
        <w:spacing w:after="60" w:line="276" w:lineRule="auto"/>
      </w:pPr>
      <w:r>
        <w:rPr>
          <w:rFonts w:ascii="Calibri" w:hAnsi="Calibri"/>
          <w:b/>
          <w:color w:val="0F172A"/>
          <w:sz w:val="20"/>
        </w:rPr>
        <w:t xml:space="preserve">Gestion des Vulnérabilités &amp; Correctifs (Patch Management) : </w:t>
      </w:r>
      <w:r>
        <w:rPr>
          <w:rFonts w:ascii="Calibri" w:hAnsi="Calibri"/>
          <w:color w:val="334155"/>
          <w:sz w:val="20"/>
        </w:rPr>
        <w:t>Cycle régulier de qualification et déploiement des mises à jour de sécurité (délai maximal de 14 jours pour les vulnérabilités critiques avec score CVSS &gt;= 9.0).</w:t>
      </w:r>
    </w:p>
    <w:p>
      <w:pPr>
        <w:pStyle w:val="ListBullet"/>
        <w:spacing w:after="60" w:line="276" w:lineRule="auto"/>
      </w:pPr>
      <w:r>
        <w:rPr>
          <w:rFonts w:ascii="Calibri" w:hAnsi="Calibri"/>
          <w:b/>
          <w:color w:val="0F172A"/>
          <w:sz w:val="20"/>
        </w:rPr>
        <w:t xml:space="preserve">Principes du Modèle Zero Trust : </w:t>
      </w:r>
      <w:r>
        <w:rPr>
          <w:rFonts w:ascii="Calibri" w:hAnsi="Calibri"/>
          <w:color w:val="334155"/>
          <w:sz w:val="20"/>
        </w:rPr>
        <w:t>« Never trust, always verify » : vérification explicite et continue de l'identité de l'utilisateur, de la posture de conformité du terminal et du contexte de connexion.</w:t>
      </w:r>
    </w:p>
    <w:p>
      <w:pPr>
        <w:pStyle w:val="ListBullet"/>
        <w:spacing w:after="60" w:line="276" w:lineRule="auto"/>
      </w:pPr>
      <w:r>
        <w:rPr>
          <w:rFonts w:ascii="Calibri" w:hAnsi="Calibri"/>
          <w:b/>
          <w:color w:val="0F172A"/>
          <w:sz w:val="20"/>
        </w:rPr>
        <w:t xml:space="preserve">Les 40 Règles du Guide d'Hygiène ANSSI : </w:t>
      </w:r>
      <w:r>
        <w:rPr>
          <w:rFonts w:ascii="Calibri" w:hAnsi="Calibri"/>
          <w:color w:val="334155"/>
          <w:sz w:val="20"/>
        </w:rPr>
        <w:t>Cartographie à jour du SI, sauvegardes régulières déconnectées, maîtrise des comptes à privilèges, cloisonnement réseau et journalisation des événements.</w:t>
      </w:r>
    </w:p>
    <w:p/>
    <w:p>
      <w:pPr>
        <w:pStyle w:val="Heading2"/>
        <w:spacing w:before="200" w:after="80"/>
      </w:pPr>
      <w:r>
        <w:rPr>
          <w:rFonts w:ascii="Calibri" w:hAnsi="Calibri"/>
          <w:b/>
          <w:color w:val="4C1D95"/>
          <w:sz w:val="26"/>
        </w:rPr>
        <w:t>3. Synthèse Opérationnelle par Capsule Vidéo</w:t>
      </w:r>
    </w:p>
    <w:tbl>
      <w:tblPr>
        <w:tblW w:type="auto" w:w="0"/>
        <w:jc w:val="center"/>
        <w:tblLayout w:type="fixed"/>
        <w:tblLook w:firstColumn="1" w:firstRow="1" w:lastColumn="0" w:lastRow="0" w:noHBand="0" w:noVBand="1" w:val="04A0"/>
      </w:tblPr>
      <w:tblGrid>
        <w:gridCol w:w="3168"/>
        <w:gridCol w:w="6192"/>
      </w:tblGrid>
      <w:tr>
        <w:tc>
          <w:tcPr>
            <w:tcW w:type="dxa" w:w="4968"/>
            <w:shd w:fill="4C1D95"/>
            <w:tcMar>
              <w:top w:w="100" w:type="dxa"/>
              <w:bottom w:w="100" w:type="dxa"/>
              <w:left w:w="120" w:type="dxa"/>
              <w:right w:w="120" w:type="dxa"/>
            </w:tcMar>
          </w:tcPr>
          <w:p>
            <w:r>
              <w:rPr>
                <w:rFonts w:ascii="Calibri" w:hAnsi="Calibri"/>
                <w:b/>
                <w:color w:val="FFFFFF"/>
                <w:sz w:val="19"/>
              </w:rPr>
              <w:t>Capsule Vidéo</w:t>
            </w:r>
          </w:p>
        </w:tc>
        <w:tc>
          <w:tcPr>
            <w:tcW w:type="dxa" w:w="4968"/>
            <w:shd w:fill="4C1D95"/>
            <w:tcMar>
              <w:top w:w="100" w:type="dxa"/>
              <w:bottom w:w="100" w:type="dxa"/>
              <w:left w:w="120" w:type="dxa"/>
              <w:right w:w="120" w:type="dxa"/>
            </w:tcMar>
          </w:tcPr>
          <w:p>
            <w:r>
              <w:rPr>
                <w:rFonts w:ascii="Calibri" w:hAnsi="Calibri"/>
                <w:b/>
                <w:color w:val="FFFFFF"/>
                <w:sz w:val="19"/>
              </w:rPr>
              <w:t>Objectifs &amp; Enseignements Clés</w:t>
            </w:r>
          </w:p>
        </w:tc>
      </w:tr>
      <w:tr>
        <w:tc>
          <w:tcPr>
            <w:tcW w:type="dxa" w:w="4968"/>
            <w:shd w:fill="F8FAFC"/>
            <w:tcMar>
              <w:top w:w="80" w:type="dxa"/>
              <w:bottom w:w="80" w:type="dxa"/>
              <w:left w:w="120" w:type="dxa"/>
              <w:right w:w="120" w:type="dxa"/>
            </w:tcMar>
          </w:tcPr>
          <w:p>
            <w:pPr>
              <w:spacing w:after="0"/>
            </w:pPr>
            <w:r>
              <w:rPr>
                <w:rFonts w:ascii="Calibri" w:hAnsi="Calibri"/>
                <w:b/>
                <w:color w:val="0F172A"/>
                <w:sz w:val="19"/>
              </w:rPr>
              <w:t>1. Contrôle d'accès</w:t>
            </w:r>
          </w:p>
        </w:tc>
        <w:tc>
          <w:tcPr>
            <w:tcW w:type="dxa" w:w="4968"/>
            <w:shd w:fill="F8FAFC"/>
            <w:tcMar>
              <w:top w:w="80" w:type="dxa"/>
              <w:bottom w:w="80" w:type="dxa"/>
              <w:left w:w="120" w:type="dxa"/>
              <w:right w:w="120" w:type="dxa"/>
            </w:tcMar>
          </w:tcPr>
          <w:p>
            <w:pPr>
              <w:spacing w:after="0" w:line="264" w:lineRule="auto"/>
            </w:pPr>
            <w:r>
              <w:rPr>
                <w:rFonts w:ascii="Calibri" w:hAnsi="Calibri"/>
                <w:color w:val="334155"/>
                <w:sz w:val="19"/>
              </w:rPr>
              <w:t>Gestion du cycle de vie des identités (arrivée, mobilité, départ), revue périodique des droits d'accès.</w:t>
            </w:r>
          </w:p>
        </w:tc>
      </w:tr>
      <w:tr>
        <w:tc>
          <w:tcPr>
            <w:tcW w:type="dxa" w:w="4968"/>
            <w:shd w:fill="FFFFFF"/>
            <w:tcMar>
              <w:top w:w="80" w:type="dxa"/>
              <w:bottom w:w="80" w:type="dxa"/>
              <w:left w:w="120" w:type="dxa"/>
              <w:right w:w="120" w:type="dxa"/>
            </w:tcMar>
          </w:tcPr>
          <w:p>
            <w:pPr>
              <w:spacing w:after="0"/>
            </w:pPr>
            <w:r>
              <w:rPr>
                <w:rFonts w:ascii="Calibri" w:hAnsi="Calibri"/>
                <w:b/>
                <w:color w:val="0F172A"/>
                <w:sz w:val="19"/>
              </w:rPr>
              <w:t>2. Authentification</w:t>
            </w:r>
          </w:p>
        </w:tc>
        <w:tc>
          <w:tcPr>
            <w:tcW w:type="dxa" w:w="4968"/>
            <w:shd w:fill="FFFFFF"/>
            <w:tcMar>
              <w:top w:w="80" w:type="dxa"/>
              <w:bottom w:w="80" w:type="dxa"/>
              <w:left w:w="120" w:type="dxa"/>
              <w:right w:w="120" w:type="dxa"/>
            </w:tcMar>
          </w:tcPr>
          <w:p>
            <w:pPr>
              <w:spacing w:after="0" w:line="264" w:lineRule="auto"/>
            </w:pPr>
            <w:r>
              <w:rPr>
                <w:rFonts w:ascii="Calibri" w:hAnsi="Calibri"/>
                <w:color w:val="334155"/>
                <w:sz w:val="19"/>
              </w:rPr>
              <w:t>Mécanismes cryptographiques d'authentification (Kerberos, NTLMv2, OAuth2/OIDC), risques de credential spraying.</w:t>
            </w:r>
          </w:p>
        </w:tc>
      </w:tr>
      <w:tr>
        <w:tc>
          <w:tcPr>
            <w:tcW w:type="dxa" w:w="4968"/>
            <w:shd w:fill="F8FAFC"/>
            <w:tcMar>
              <w:top w:w="80" w:type="dxa"/>
              <w:bottom w:w="80" w:type="dxa"/>
              <w:left w:w="120" w:type="dxa"/>
              <w:right w:w="120" w:type="dxa"/>
            </w:tcMar>
          </w:tcPr>
          <w:p>
            <w:pPr>
              <w:spacing w:after="0"/>
            </w:pPr>
            <w:r>
              <w:rPr>
                <w:rFonts w:ascii="Calibri" w:hAnsi="Calibri"/>
                <w:b/>
                <w:color w:val="0F172A"/>
                <w:sz w:val="19"/>
              </w:rPr>
              <w:t>3. Durcissement</w:t>
            </w:r>
          </w:p>
        </w:tc>
        <w:tc>
          <w:tcPr>
            <w:tcW w:type="dxa" w:w="4968"/>
            <w:shd w:fill="F8FAFC"/>
            <w:tcMar>
              <w:top w:w="80" w:type="dxa"/>
              <w:bottom w:w="80" w:type="dxa"/>
              <w:left w:w="120" w:type="dxa"/>
              <w:right w:w="120" w:type="dxa"/>
            </w:tcMar>
          </w:tcPr>
          <w:p>
            <w:pPr>
              <w:spacing w:after="0" w:line="264" w:lineRule="auto"/>
            </w:pPr>
            <w:r>
              <w:rPr>
                <w:rFonts w:ascii="Calibri" w:hAnsi="Calibri"/>
                <w:color w:val="334155"/>
                <w:sz w:val="19"/>
              </w:rPr>
              <w:t>Guide méthodologique de durcissement des OS Windows Server et Linux, gestion des stratégies de groupe (GPO).</w:t>
            </w:r>
          </w:p>
        </w:tc>
      </w:tr>
      <w:tr>
        <w:tc>
          <w:tcPr>
            <w:tcW w:type="dxa" w:w="4968"/>
            <w:shd w:fill="FFFFFF"/>
            <w:tcMar>
              <w:top w:w="80" w:type="dxa"/>
              <w:bottom w:w="80" w:type="dxa"/>
              <w:left w:w="120" w:type="dxa"/>
              <w:right w:w="120" w:type="dxa"/>
            </w:tcMar>
          </w:tcPr>
          <w:p>
            <w:pPr>
              <w:spacing w:after="0"/>
            </w:pPr>
            <w:r>
              <w:rPr>
                <w:rFonts w:ascii="Calibri" w:hAnsi="Calibri"/>
                <w:b/>
                <w:color w:val="0F172A"/>
                <w:sz w:val="19"/>
              </w:rPr>
              <w:t>4. Mesures ANSSI</w:t>
            </w:r>
          </w:p>
        </w:tc>
        <w:tc>
          <w:tcPr>
            <w:tcW w:type="dxa" w:w="4968"/>
            <w:shd w:fill="FFFFFF"/>
            <w:tcMar>
              <w:top w:w="80" w:type="dxa"/>
              <w:bottom w:w="80" w:type="dxa"/>
              <w:left w:w="120" w:type="dxa"/>
              <w:right w:w="120" w:type="dxa"/>
            </w:tcMar>
          </w:tcPr>
          <w:p>
            <w:pPr>
              <w:spacing w:after="0" w:line="264" w:lineRule="auto"/>
            </w:pPr>
            <w:r>
              <w:rPr>
                <w:rFonts w:ascii="Calibri" w:hAnsi="Calibri"/>
                <w:color w:val="334155"/>
                <w:sz w:val="19"/>
              </w:rPr>
              <w:t>Revue détaillée des mesures prioritaires du guide d'hygiène de l'ANSSI pour les PME et grandes entreprises.</w:t>
            </w:r>
          </w:p>
        </w:tc>
      </w:tr>
    </w:tbl>
    <w:p/>
    <w:p>
      <w:pPr>
        <w:pStyle w:val="Heading2"/>
        <w:spacing w:before="200" w:after="80"/>
      </w:pPr>
      <w:r>
        <w:rPr>
          <w:rFonts w:ascii="Calibri" w:hAnsi="Calibri"/>
          <w:b/>
          <w:color w:val="4C1D95"/>
          <w:sz w:val="26"/>
        </w:rPr>
        <w:t>4. Recommandations Pratiques &amp; Standards Professionnels</w:t>
      </w:r>
    </w:p>
    <w:p>
      <w:pPr>
        <w:pStyle w:val="ListBullet"/>
        <w:spacing w:after="60"/>
      </w:pPr>
      <w:r>
        <w:rPr>
          <w:rFonts w:ascii="Calibri" w:hAnsi="Calibri"/>
          <w:color w:val="1E293B"/>
          <w:sz w:val="20"/>
        </w:rPr>
        <w:t>Interdire formellement l'utilisation des comptes administrateurs du domaine pour surfer sur Internet ou consulter des courriels.</w:t>
      </w:r>
    </w:p>
    <w:p>
      <w:pPr>
        <w:pStyle w:val="ListBullet"/>
        <w:spacing w:after="60"/>
      </w:pPr>
      <w:r>
        <w:rPr>
          <w:rFonts w:ascii="Calibri" w:hAnsi="Calibri"/>
          <w:color w:val="1E293B"/>
          <w:sz w:val="20"/>
        </w:rPr>
        <w:t>Mettre en place la solution Microsoft LAPS (Local Administrator Password Solution) pour individualiser les mots de passe administrateur local.</w:t>
      </w:r>
    </w:p>
    <w:p>
      <w:pPr>
        <w:pStyle w:val="ListBullet"/>
        <w:spacing w:after="60"/>
      </w:pPr>
      <w:r>
        <w:rPr>
          <w:rFonts w:ascii="Calibri" w:hAnsi="Calibri"/>
          <w:color w:val="1E293B"/>
          <w:sz w:val="20"/>
        </w:rPr>
        <w:t>Tester mensuellement la procédure de restauration des sauvegardes système pour garantir la reprise d'activité.</w:t>
      </w:r>
    </w:p>
    <w:p/>
    <w:tbl>
      <w:tblPr>
        <w:tblW w:type="auto" w:w="0"/>
        <w:jc w:val="center"/>
        <w:tblLayout w:type="fixed"/>
        <w:tblLook w:firstColumn="1" w:firstRow="1" w:lastColumn="0" w:lastRow="0" w:noHBand="0" w:noVBand="1" w:val="04A0"/>
      </w:tblPr>
      <w:tblGrid>
        <w:gridCol w:w="9360"/>
      </w:tblGrid>
      <w:tr>
        <w:tc>
          <w:tcPr>
            <w:tcW w:type="dxa" w:w="9936"/>
            <w:shd w:fill="F5F3FF"/>
            <w:tcMar>
              <w:top w:w="140" w:type="dxa"/>
              <w:bottom w:w="140" w:type="dxa"/>
              <w:left w:w="200" w:type="dxa"/>
              <w:right w:w="200" w:type="dxa"/>
            </w:tcMar>
            <w:tcBorders>
              <w:left w:val="single" w:sz="24" w:space="0" w:color="7C3AED"/>
              <w:top w:val="none"/>
              <w:right w:val="none"/>
              <w:bottom w:val="none"/>
            </w:tcBorders>
          </w:tcPr>
          <w:p>
            <w:pPr>
              <w:spacing w:before="40" w:after="80"/>
            </w:pPr>
            <w:r>
              <w:rPr>
                <w:rFonts w:ascii="Calibri" w:hAnsi="Calibri"/>
                <w:b/>
                <w:color w:val="4C1D95"/>
                <w:sz w:val="22"/>
              </w:rPr>
              <w:t>📌 Critères de Validation pour le Jury de Certification PASI</w:t>
              <w:br/>
            </w:r>
            <w:r>
              <w:rPr>
                <w:rFonts w:ascii="Calibri" w:hAnsi="Calibri"/>
                <w:color w:val="334155"/>
                <w:sz w:val="20"/>
              </w:rPr>
              <w:t>• Présenter un plan d'action d'application des recommandations du Guide d'Hygiène de l'ANSSI.</w:t>
              <w:br/>
              <w:t>• Savoir expliquer les étapes clés du durcissement d'un serveur Windows ou Linux.</w:t>
              <w:br/>
              <w:t>• Démontrer la maîtrise des mécanismes d'authentification multi-facteurs et de gestion des habilitations RBAC.</w:t>
            </w:r>
          </w:p>
        </w:tc>
      </w:tr>
    </w:tbl>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