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880"/>
      </w:tblGrid>
      <w:tr>
        <w:tc>
          <w:tcPr>
            <w:tcW w:type="dxa" w:w="4968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7C3AED"/>
                <w:sz w:val="18"/>
              </w:rPr>
              <w:t>OIDANEOS ACADEMY • CERTIFICATION PASI (217H)</w:t>
              <w:br/>
            </w:r>
            <w:r>
              <w:rPr>
                <w:rFonts w:ascii="Calibri" w:hAnsi="Calibri"/>
                <w:b/>
                <w:color w:val="0F172A"/>
                <w:sz w:val="28"/>
              </w:rPr>
              <w:t>FICHE DE RÉVISION ASYNCHRONE — SÉQUENCE S03</w:t>
              <w:br/>
            </w:r>
            <w:r>
              <w:rPr>
                <w:rFonts w:ascii="Calibri" w:hAnsi="Calibri"/>
                <w:color w:val="475569"/>
                <w:sz w:val="22"/>
              </w:rPr>
              <w:t>Architecture &amp; Équipements de Sécurité</w:t>
            </w:r>
          </w:p>
        </w:tc>
        <w:tc>
          <w:tcPr>
            <w:tcW w:type="dxa" w:w="4968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334155"/>
                <w:sz w:val="18"/>
              </w:rPr>
              <w:t>Bloc : Bloc 1 : Fondamentaux &amp; Bloc 3 : Sécurisation (42h + 63h)</w:t>
              <w:br/>
            </w:r>
            <w:r>
              <w:rPr>
                <w:rFonts w:ascii="Calibri" w:hAnsi="Calibri"/>
                <w:b/>
                <w:color w:val="DB2777"/>
                <w:sz w:val="18"/>
              </w:rPr>
              <w:t>Compétences : C5 (Sécurisation des Actifs Informatiques &amp; Cloisonnement)</w:t>
              <w:br/>
            </w:r>
            <w:r>
              <w:rPr>
                <w:rFonts w:ascii="Calibri" w:hAnsi="Calibri"/>
                <w:color w:val="64748B"/>
                <w:sz w:val="17"/>
              </w:rPr>
              <w:t>Format : E-Learning &amp; Vidéos</w:t>
            </w:r>
          </w:p>
        </w:tc>
      </w:tr>
    </w:tbl>
    <w:p/>
    <w:p>
      <w:pPr>
        <w:pStyle w:val="Heading2"/>
        <w:spacing w:before="160" w:after="80"/>
      </w:pPr>
      <w:r>
        <w:rPr>
          <w:rFonts w:ascii="Calibri" w:hAnsi="Calibri"/>
          <w:b/>
          <w:color w:val="4C1D95"/>
          <w:sz w:val="26"/>
        </w:rPr>
        <w:t>1. Résumé Exécutif &amp; Cadrage Pédagogique</w:t>
      </w:r>
    </w:p>
    <w:p>
      <w:pPr>
        <w:spacing w:after="120" w:line="276" w:lineRule="auto"/>
      </w:pPr>
      <w:r>
        <w:rPr>
          <w:rFonts w:ascii="Calibri" w:hAnsi="Calibri"/>
          <w:color w:val="1E293B"/>
          <w:sz w:val="21"/>
        </w:rPr>
        <w:t>Cette séquence aborde les principes d'urbanisation sécurisée des systèmes d'information : défense en profondeur, segmentation réseau en zones de confiance (DMZ), mise en œuvre de pare-feu NGFW, proxy Squid, sondes IDS/IPS, protection des terminaux et sécurisation des environnements Cloud.</w:t>
      </w:r>
    </w:p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2. Notions Essentielles &amp; Fondamentaux Clés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Défense en Profondeur (Defense in Depth) : </w:t>
      </w:r>
      <w:r>
        <w:rPr>
          <w:rFonts w:ascii="Calibri" w:hAnsi="Calibri"/>
          <w:color w:val="334155"/>
          <w:sz w:val="20"/>
        </w:rPr>
        <w:t>Multiplication des couches de sécurité indépendantes (périmètre, réseau, hôte, application, données) afin qu'aucune faille unique ne compromette l'ensemble du SI.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Segmentation &amp; Zones de Confiance : </w:t>
      </w:r>
      <w:r>
        <w:rPr>
          <w:rFonts w:ascii="Calibri" w:hAnsi="Calibri"/>
          <w:color w:val="334155"/>
          <w:sz w:val="20"/>
        </w:rPr>
        <w:t>Découpage en sous-réseaux étanches (VLANs, DMZ publique, DMZ interne, zone serveurs sécurisée, zone administration isolée).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Équipements de Filtrage &amp; Inspection : </w:t>
      </w:r>
      <w:r>
        <w:rPr>
          <w:rFonts w:ascii="Calibri" w:hAnsi="Calibri"/>
          <w:color w:val="334155"/>
          <w:sz w:val="20"/>
        </w:rPr>
        <w:t>Pare-feu de nouvelle génération (NGFW avec inspection applicative couche 7), Proxy mandataire (ex: Squid pour le filtrage d'URL, mise en cache et analyse antivirale des flux web).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Sondes de Détection &amp; Prévention (IDS/IPS) : </w:t>
      </w:r>
      <w:r>
        <w:rPr>
          <w:rFonts w:ascii="Calibri" w:hAnsi="Calibri"/>
          <w:color w:val="334155"/>
          <w:sz w:val="20"/>
        </w:rPr>
        <w:t>Analyse passive (IDS sur port miroir) vs blocage actif (IPS inline) basée sur signatures de menaces et détection d'anomalies de flux.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Protection des Postes &amp; Terminaux : </w:t>
      </w:r>
      <w:r>
        <w:rPr>
          <w:rFonts w:ascii="Calibri" w:hAnsi="Calibri"/>
          <w:color w:val="334155"/>
          <w:sz w:val="20"/>
        </w:rPr>
        <w:t>Antivirus de nouvelle génération (NGAV), Endpoint Detection and Response (EDR) et contrôle des périphériques amovibles (USB).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Composants Cloud &amp; Accès Distants : </w:t>
      </w:r>
      <w:r>
        <w:rPr>
          <w:rFonts w:ascii="Calibri" w:hAnsi="Calibri"/>
          <w:color w:val="334155"/>
          <w:sz w:val="20"/>
        </w:rPr>
        <w:t>Passerelles SASE, Cloud Access Security Broker (CASB) et passerelles VPN sécurisées (IPsec IKEv2 / OpenVPN).</w:t>
      </w:r>
    </w:p>
    <w:p/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3. Synthèse Opérationnelle par Capsule Vidéo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68"/>
        <w:gridCol w:w="6192"/>
      </w:tblGrid>
      <w:tr>
        <w:tc>
          <w:tcPr>
            <w:tcW w:type="dxa" w:w="4968"/>
            <w:shd w:fill="4C1D95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Capsule Vidéo</w:t>
            </w:r>
          </w:p>
        </w:tc>
        <w:tc>
          <w:tcPr>
            <w:tcW w:type="dxa" w:w="4968"/>
            <w:shd w:fill="4C1D95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Objectifs &amp; Enseignements Clés</w:t>
            </w:r>
          </w:p>
        </w:tc>
      </w:tr>
      <w:tr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0. Présentation de la séquence</w:t>
            </w:r>
          </w:p>
        </w:tc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Cadrage des enjeux d'architecture défensive et de conception sécurisée.</w:t>
            </w:r>
          </w:p>
        </w:tc>
      </w:tr>
      <w:tr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1. Principes d'architecture</w:t>
            </w:r>
          </w:p>
        </w:tc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Les règles d'or de l'urbanisation sécurisée, zones de confiance et matrice de flux autorisés.</w:t>
            </w:r>
          </w:p>
        </w:tc>
      </w:tr>
      <w:tr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2. Protection réseau</w:t>
            </w:r>
          </w:p>
        </w:tc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Rôle et positionnement des pare-feux NGFW, routeurs filtrants et mécanismes de translation NAT/PAT.</w:t>
            </w:r>
          </w:p>
        </w:tc>
      </w:tr>
      <w:tr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3. Protection des terminaux</w:t>
            </w:r>
          </w:p>
        </w:tc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Fonctionnement des solutions EDR, agents de collecte de télémétrie et isolation réseau des machines compromises.</w:t>
            </w:r>
          </w:p>
        </w:tc>
      </w:tr>
      <w:tr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4. Analyse &amp; orchestration</w:t>
            </w:r>
          </w:p>
        </w:tc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Lien entre équipements de sécurité, collecte centralisée des logs (SIEM) et orchestration des réponses (SOAR).</w:t>
            </w:r>
          </w:p>
        </w:tc>
      </w:tr>
      <w:tr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5. Composants Cloud &amp; accès</w:t>
            </w:r>
          </w:p>
        </w:tc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Sécurisation des liaisons hybrides on-premise / cloud public, bastions d'administration (PAM).</w:t>
            </w:r>
          </w:p>
        </w:tc>
      </w:tr>
      <w:tr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Tuto : Proxy Squid</w:t>
            </w:r>
          </w:p>
        </w:tc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Guide pas à pas de configuration d'un serveur proxy Squid (filtrage des accès, listes blanches/noires, logs de connexion).</w:t>
            </w:r>
          </w:p>
        </w:tc>
      </w:tr>
    </w:tbl>
    <w:p/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4. Recommandations Pratiques &amp; Standards Professionnels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Appliquer le principe du refus par défaut (Default Deny) sur l'ensemble des règles de pare-feu et passerelles réseau.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Isoler impérativement les interfaces de management des serveurs (iLO, IPMI, vSphere) sur un VLAN d'administration dédié non routable vers Internet.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Déployer un proxy mandataire avec déchiffrement SSL/TLS pour inspecter les flux web sortants et bloquer les communications C2 (Command &amp; Control).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936"/>
            <w:shd w:fill="F5F3FF"/>
            <w:tcMar>
              <w:top w:w="140" w:type="dxa"/>
              <w:bottom w:w="140" w:type="dxa"/>
              <w:left w:w="200" w:type="dxa"/>
              <w:right w:w="200" w:type="dxa"/>
            </w:tcMar>
            <w:tcBorders>
              <w:left w:val="single" w:sz="24" w:space="0" w:color="7C3AED"/>
              <w:top w:val="none"/>
              <w:right w:val="none"/>
              <w:bottom w:val="none"/>
            </w:tcBorders>
          </w:tcPr>
          <w:p>
            <w:pPr>
              <w:spacing w:before="40" w:after="80"/>
            </w:pPr>
            <w:r>
              <w:rPr>
                <w:rFonts w:ascii="Calibri" w:hAnsi="Calibri"/>
                <w:b/>
                <w:color w:val="4C1D95"/>
                <w:sz w:val="22"/>
              </w:rPr>
              <w:t>📌 Critères de Validation pour le Jury de Certification PASI</w:t>
              <w:br/>
            </w:r>
            <w:r>
              <w:rPr>
                <w:rFonts w:ascii="Calibri" w:hAnsi="Calibri"/>
                <w:color w:val="334155"/>
                <w:sz w:val="20"/>
              </w:rPr>
              <w:t>• Savoir concevoir et schématiser une architecture réseau sécurisée avec DMZ et cloisonnement par VLANs.</w:t>
              <w:br/>
              <w:t>• Être capable d'expliquer le fonctionnement d'un proxy Squid et son utilité dans la traçabilité des flux.</w:t>
              <w:br/>
              <w:t>• Justifier la complémentarité entre un pare-feu périmétrique, un IDS/IPS et une solution EDR sur les terminaux.</w:t>
            </w:r>
          </w:p>
        </w:tc>
      </w:tr>
    </w:tbl>
    <w:p/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