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480"/>
        <w:gridCol w:w="2880"/>
      </w:tblGrid>
      <w:tr>
        <w:tc>
          <w:tcPr>
            <w:tcW w:type="dxa" w:w="4968"/>
          </w:tcPr>
          <w:p>
            <w:pPr>
              <w:spacing w:after="40"/>
            </w:pPr>
            <w:r>
              <w:rPr>
                <w:rFonts w:ascii="Calibri" w:hAnsi="Calibri"/>
                <w:b/>
                <w:color w:val="7C3AED"/>
                <w:sz w:val="18"/>
              </w:rPr>
              <w:t>OIDANEOS ACADEMY • CERTIFICATION PASI (217H)</w:t>
              <w:br/>
            </w:r>
            <w:r>
              <w:rPr>
                <w:rFonts w:ascii="Calibri" w:hAnsi="Calibri"/>
                <w:b/>
                <w:color w:val="0F172A"/>
                <w:sz w:val="28"/>
              </w:rPr>
              <w:t>FICHE DE RÉVISION ASYNCHRONE — SÉQUENCE S02</w:t>
              <w:br/>
            </w:r>
            <w:r>
              <w:rPr>
                <w:rFonts w:ascii="Calibri" w:hAnsi="Calibri"/>
                <w:color w:val="475569"/>
                <w:sz w:val="22"/>
              </w:rPr>
              <w:t>Principales Menaces, Failles &amp; Vecteurs d'Attaque</w:t>
            </w:r>
          </w:p>
        </w:tc>
        <w:tc>
          <w:tcPr>
            <w:tcW w:type="dxa" w:w="4968"/>
          </w:tcPr>
          <w:p>
            <w:pPr>
              <w:spacing w:after="40"/>
              <w:jc w:val="right"/>
            </w:pPr>
            <w:r>
              <w:rPr>
                <w:rFonts w:ascii="Calibri" w:hAnsi="Calibri"/>
                <w:b/>
                <w:color w:val="334155"/>
                <w:sz w:val="18"/>
              </w:rPr>
              <w:t>Bloc : Bloc 1 : Fondamentaux de la SSI (42h)</w:t>
              <w:br/>
            </w:r>
            <w:r>
              <w:rPr>
                <w:rFonts w:ascii="Calibri" w:hAnsi="Calibri"/>
                <w:b/>
                <w:color w:val="DB2777"/>
                <w:sz w:val="18"/>
              </w:rPr>
              <w:t>Compétences : C1 &amp; C7 (Cartographie des Risques &amp; Analyse des Vulnérabilités)</w:t>
              <w:br/>
            </w:r>
            <w:r>
              <w:rPr>
                <w:rFonts w:ascii="Calibri" w:hAnsi="Calibri"/>
                <w:color w:val="64748B"/>
                <w:sz w:val="17"/>
              </w:rPr>
              <w:t>Format : E-Learning &amp; Vidéos</w:t>
            </w:r>
          </w:p>
        </w:tc>
      </w:tr>
    </w:tbl>
    <w:p/>
    <w:p>
      <w:pPr>
        <w:pStyle w:val="Heading2"/>
        <w:spacing w:before="160" w:after="80"/>
      </w:pPr>
      <w:r>
        <w:rPr>
          <w:rFonts w:ascii="Calibri" w:hAnsi="Calibri"/>
          <w:b/>
          <w:color w:val="4C1D95"/>
          <w:sz w:val="26"/>
        </w:rPr>
        <w:t>1. Résumé Exécutif &amp; Cadrage Pédagogique</w:t>
      </w:r>
    </w:p>
    <w:p>
      <w:pPr>
        <w:spacing w:after="120" w:line="276" w:lineRule="auto"/>
      </w:pPr>
      <w:r>
        <w:rPr>
          <w:rFonts w:ascii="Calibri" w:hAnsi="Calibri"/>
          <w:color w:val="1E293B"/>
          <w:sz w:val="21"/>
        </w:rPr>
        <w:t>La séquence S02 dresse un inventaire technique complet des logiciels malveillants, des techniques d'attaques sur les réseaux, des vulnérabilités applicatives web (OWASP Top 10) et des méthodes d'ingénierie sociale exploitant le facteur humain.</w:t>
      </w:r>
    </w:p>
    <w:p>
      <w:pPr>
        <w:pStyle w:val="Heading2"/>
        <w:spacing w:before="200" w:after="80"/>
      </w:pPr>
      <w:r>
        <w:rPr>
          <w:rFonts w:ascii="Calibri" w:hAnsi="Calibri"/>
          <w:b/>
          <w:color w:val="4C1D95"/>
          <w:sz w:val="26"/>
        </w:rPr>
        <w:t>2. Notions Essentielles &amp; Fondamentaux Clés</w:t>
      </w:r>
    </w:p>
    <w:p>
      <w:pPr>
        <w:pStyle w:val="ListBullet"/>
        <w:spacing w:after="60" w:line="276" w:lineRule="auto"/>
      </w:pPr>
      <w:r>
        <w:rPr>
          <w:rFonts w:ascii="Calibri" w:hAnsi="Calibri"/>
          <w:b/>
          <w:color w:val="0F172A"/>
          <w:sz w:val="20"/>
        </w:rPr>
        <w:t xml:space="preserve">Taxonomie des Malwares : </w:t>
      </w:r>
      <w:r>
        <w:rPr>
          <w:rFonts w:ascii="Calibri" w:hAnsi="Calibri"/>
          <w:color w:val="334155"/>
          <w:sz w:val="20"/>
        </w:rPr>
        <w:t>Virus (auto-réplication avec hôte), Vers (propagation réseau autonome), Chevaux de Troie (porte dérobée cachée), Ransomwares (chiffrement malveillant avec extorsion), Spywares/Keyloggers (exfiltration de données/frappes clavier), Rootkits (persistance au niveau noyau).</w:t>
      </w:r>
    </w:p>
    <w:p>
      <w:pPr>
        <w:pStyle w:val="ListBullet"/>
        <w:spacing w:after="60" w:line="276" w:lineRule="auto"/>
      </w:pPr>
      <w:r>
        <w:rPr>
          <w:rFonts w:ascii="Calibri" w:hAnsi="Calibri"/>
          <w:b/>
          <w:color w:val="0F172A"/>
          <w:sz w:val="20"/>
        </w:rPr>
        <w:t xml:space="preserve">Attaques Réseaux : </w:t>
      </w:r>
      <w:r>
        <w:rPr>
          <w:rFonts w:ascii="Calibri" w:hAnsi="Calibri"/>
          <w:color w:val="334155"/>
          <w:sz w:val="20"/>
        </w:rPr>
        <w:t>Déni de service (DoS/DDoS avec amplificateurs NTP/DNS), Attaque de l'homme du milieu (Man-in-the-Middle / ARP Poisoning), Usurpation d'identité (IP/DNS Spoofing), écoute clandestine (Sniffing non chiffré).</w:t>
      </w:r>
    </w:p>
    <w:p>
      <w:pPr>
        <w:pStyle w:val="ListBullet"/>
        <w:spacing w:after="60" w:line="276" w:lineRule="auto"/>
      </w:pPr>
      <w:r>
        <w:rPr>
          <w:rFonts w:ascii="Calibri" w:hAnsi="Calibri"/>
          <w:b/>
          <w:color w:val="0F172A"/>
          <w:sz w:val="20"/>
        </w:rPr>
        <w:t xml:space="preserve">Vulnérabilités Applicatives &amp; Web : </w:t>
      </w:r>
      <w:r>
        <w:rPr>
          <w:rFonts w:ascii="Calibri" w:hAnsi="Calibri"/>
          <w:color w:val="334155"/>
          <w:sz w:val="20"/>
        </w:rPr>
        <w:t>Top 10 OWASP : Injections (SQL, Command Injection), failles d'authentification, Cross-Site Scripting (XSS), contrôle d'accès défaillant (IDOR), mauvaise configuration de sécurité.</w:t>
      </w:r>
    </w:p>
    <w:p>
      <w:pPr>
        <w:pStyle w:val="ListBullet"/>
        <w:spacing w:after="60" w:line="276" w:lineRule="auto"/>
      </w:pPr>
      <w:r>
        <w:rPr>
          <w:rFonts w:ascii="Calibri" w:hAnsi="Calibri"/>
          <w:b/>
          <w:color w:val="0F172A"/>
          <w:sz w:val="20"/>
        </w:rPr>
        <w:t xml:space="preserve">Ingénierie Sociale (Social Engineering) : </w:t>
      </w:r>
      <w:r>
        <w:rPr>
          <w:rFonts w:ascii="Calibri" w:hAnsi="Calibri"/>
          <w:color w:val="334155"/>
          <w:sz w:val="20"/>
        </w:rPr>
        <w:t>Phishing générique, Spear-phishing ciblé, Smishing (SMS), Vishing (appels vocaux), attaque par rebond (Watering Hole), Fraude au Président (FOVI).</w:t>
      </w:r>
    </w:p>
    <w:p/>
    <w:p>
      <w:pPr>
        <w:pStyle w:val="Heading2"/>
        <w:spacing w:before="200" w:after="80"/>
      </w:pPr>
      <w:r>
        <w:rPr>
          <w:rFonts w:ascii="Calibri" w:hAnsi="Calibri"/>
          <w:b/>
          <w:color w:val="4C1D95"/>
          <w:sz w:val="26"/>
        </w:rPr>
        <w:t>3. Synthèse Opérationnelle par Capsule Vidéo</w:t>
      </w:r>
    </w:p>
    <w:tbl>
      <w:tblPr>
        <w:tblW w:type="auto" w:w="0"/>
        <w:jc w:val="center"/>
        <w:tblLayout w:type="fixed"/>
        <w:tblLook w:firstColumn="1" w:firstRow="1" w:lastColumn="0" w:lastRow="0" w:noHBand="0" w:noVBand="1" w:val="04A0"/>
      </w:tblPr>
      <w:tblGrid>
        <w:gridCol w:w="3168"/>
        <w:gridCol w:w="6192"/>
      </w:tblGrid>
      <w:tr>
        <w:tc>
          <w:tcPr>
            <w:tcW w:type="dxa" w:w="4968"/>
            <w:shd w:fill="4C1D95"/>
            <w:tcMar>
              <w:top w:w="100" w:type="dxa"/>
              <w:bottom w:w="100" w:type="dxa"/>
              <w:left w:w="120" w:type="dxa"/>
              <w:right w:w="120" w:type="dxa"/>
            </w:tcMar>
          </w:tcPr>
          <w:p>
            <w:r>
              <w:rPr>
                <w:rFonts w:ascii="Calibri" w:hAnsi="Calibri"/>
                <w:b/>
                <w:color w:val="FFFFFF"/>
                <w:sz w:val="19"/>
              </w:rPr>
              <w:t>Capsule Vidéo</w:t>
            </w:r>
          </w:p>
        </w:tc>
        <w:tc>
          <w:tcPr>
            <w:tcW w:type="dxa" w:w="4968"/>
            <w:shd w:fill="4C1D95"/>
            <w:tcMar>
              <w:top w:w="100" w:type="dxa"/>
              <w:bottom w:w="100" w:type="dxa"/>
              <w:left w:w="120" w:type="dxa"/>
              <w:right w:w="120" w:type="dxa"/>
            </w:tcMar>
          </w:tcPr>
          <w:p>
            <w:r>
              <w:rPr>
                <w:rFonts w:ascii="Calibri" w:hAnsi="Calibri"/>
                <w:b/>
                <w:color w:val="FFFFFF"/>
                <w:sz w:val="19"/>
              </w:rPr>
              <w:t>Objectifs &amp; Enseignements Clés</w:t>
            </w:r>
          </w:p>
        </w:tc>
      </w:tr>
      <w:tr>
        <w:tc>
          <w:tcPr>
            <w:tcW w:type="dxa" w:w="4968"/>
            <w:shd w:fill="F8FAFC"/>
            <w:tcMar>
              <w:top w:w="80" w:type="dxa"/>
              <w:bottom w:w="80" w:type="dxa"/>
              <w:left w:w="120" w:type="dxa"/>
              <w:right w:w="120" w:type="dxa"/>
            </w:tcMar>
          </w:tcPr>
          <w:p>
            <w:pPr>
              <w:spacing w:after="0"/>
            </w:pPr>
            <w:r>
              <w:rPr>
                <w:rFonts w:ascii="Calibri" w:hAnsi="Calibri"/>
                <w:b/>
                <w:color w:val="0F172A"/>
                <w:sz w:val="19"/>
              </w:rPr>
              <w:t>0. Présentation de la séquence</w:t>
            </w:r>
          </w:p>
        </w:tc>
        <w:tc>
          <w:tcPr>
            <w:tcW w:type="dxa" w:w="4968"/>
            <w:shd w:fill="F8FAFC"/>
            <w:tcMar>
              <w:top w:w="80" w:type="dxa"/>
              <w:bottom w:w="80" w:type="dxa"/>
              <w:left w:w="120" w:type="dxa"/>
              <w:right w:w="120" w:type="dxa"/>
            </w:tcMar>
          </w:tcPr>
          <w:p>
            <w:pPr>
              <w:spacing w:after="0" w:line="264" w:lineRule="auto"/>
            </w:pPr>
            <w:r>
              <w:rPr>
                <w:rFonts w:ascii="Calibri" w:hAnsi="Calibri"/>
                <w:color w:val="334155"/>
                <w:sz w:val="19"/>
              </w:rPr>
              <w:t>Objectifs : reconnaître les différentes familles d'attaques et comprendre leurs modes opératoires.</w:t>
            </w:r>
          </w:p>
        </w:tc>
      </w:tr>
      <w:tr>
        <w:tc>
          <w:tcPr>
            <w:tcW w:type="dxa" w:w="4968"/>
            <w:shd w:fill="FFFFFF"/>
            <w:tcMar>
              <w:top w:w="80" w:type="dxa"/>
              <w:bottom w:w="80" w:type="dxa"/>
              <w:left w:w="120" w:type="dxa"/>
              <w:right w:w="120" w:type="dxa"/>
            </w:tcMar>
          </w:tcPr>
          <w:p>
            <w:pPr>
              <w:spacing w:after="0"/>
            </w:pPr>
            <w:r>
              <w:rPr>
                <w:rFonts w:ascii="Calibri" w:hAnsi="Calibri"/>
                <w:b/>
                <w:color w:val="0F172A"/>
                <w:sz w:val="19"/>
              </w:rPr>
              <w:t>1. Logiciels malveillants</w:t>
            </w:r>
          </w:p>
        </w:tc>
        <w:tc>
          <w:tcPr>
            <w:tcW w:type="dxa" w:w="4968"/>
            <w:shd w:fill="FFFFFF"/>
            <w:tcMar>
              <w:top w:w="80" w:type="dxa"/>
              <w:bottom w:w="80" w:type="dxa"/>
              <w:left w:w="120" w:type="dxa"/>
              <w:right w:w="120" w:type="dxa"/>
            </w:tcMar>
          </w:tcPr>
          <w:p>
            <w:pPr>
              <w:spacing w:after="0" w:line="264" w:lineRule="auto"/>
            </w:pPr>
            <w:r>
              <w:rPr>
                <w:rFonts w:ascii="Calibri" w:hAnsi="Calibri"/>
                <w:color w:val="334155"/>
                <w:sz w:val="19"/>
              </w:rPr>
              <w:t>Analyse détaillée du fonctionnement des ransomwares, mécanismes d'infection, de persistance et de chiffrement.</w:t>
            </w:r>
          </w:p>
        </w:tc>
      </w:tr>
      <w:tr>
        <w:tc>
          <w:tcPr>
            <w:tcW w:type="dxa" w:w="4968"/>
            <w:shd w:fill="F8FAFC"/>
            <w:tcMar>
              <w:top w:w="80" w:type="dxa"/>
              <w:bottom w:w="80" w:type="dxa"/>
              <w:left w:w="120" w:type="dxa"/>
              <w:right w:w="120" w:type="dxa"/>
            </w:tcMar>
          </w:tcPr>
          <w:p>
            <w:pPr>
              <w:spacing w:after="0"/>
            </w:pPr>
            <w:r>
              <w:rPr>
                <w:rFonts w:ascii="Calibri" w:hAnsi="Calibri"/>
                <w:b/>
                <w:color w:val="0F172A"/>
                <w:sz w:val="19"/>
              </w:rPr>
              <w:t>2. Attaques réseaux</w:t>
            </w:r>
          </w:p>
        </w:tc>
        <w:tc>
          <w:tcPr>
            <w:tcW w:type="dxa" w:w="4968"/>
            <w:shd w:fill="F8FAFC"/>
            <w:tcMar>
              <w:top w:w="80" w:type="dxa"/>
              <w:bottom w:w="80" w:type="dxa"/>
              <w:left w:w="120" w:type="dxa"/>
              <w:right w:w="120" w:type="dxa"/>
            </w:tcMar>
          </w:tcPr>
          <w:p>
            <w:pPr>
              <w:spacing w:after="0" w:line="264" w:lineRule="auto"/>
            </w:pPr>
            <w:r>
              <w:rPr>
                <w:rFonts w:ascii="Calibri" w:hAnsi="Calibri"/>
                <w:color w:val="334155"/>
                <w:sz w:val="19"/>
              </w:rPr>
              <w:t>Démonstration des attaques MITM, empoisonnement de cache ARP, attaques par inondation SYN Flood.</w:t>
            </w:r>
          </w:p>
        </w:tc>
      </w:tr>
      <w:tr>
        <w:tc>
          <w:tcPr>
            <w:tcW w:type="dxa" w:w="4968"/>
            <w:shd w:fill="FFFFFF"/>
            <w:tcMar>
              <w:top w:w="80" w:type="dxa"/>
              <w:bottom w:w="80" w:type="dxa"/>
              <w:left w:w="120" w:type="dxa"/>
              <w:right w:w="120" w:type="dxa"/>
            </w:tcMar>
          </w:tcPr>
          <w:p>
            <w:pPr>
              <w:spacing w:after="0"/>
            </w:pPr>
            <w:r>
              <w:rPr>
                <w:rFonts w:ascii="Calibri" w:hAnsi="Calibri"/>
                <w:b/>
                <w:color w:val="0F172A"/>
                <w:sz w:val="19"/>
              </w:rPr>
              <w:t>3. Attaques Web</w:t>
            </w:r>
          </w:p>
        </w:tc>
        <w:tc>
          <w:tcPr>
            <w:tcW w:type="dxa" w:w="4968"/>
            <w:shd w:fill="FFFFFF"/>
            <w:tcMar>
              <w:top w:w="80" w:type="dxa"/>
              <w:bottom w:w="80" w:type="dxa"/>
              <w:left w:w="120" w:type="dxa"/>
              <w:right w:w="120" w:type="dxa"/>
            </w:tcMar>
          </w:tcPr>
          <w:p>
            <w:pPr>
              <w:spacing w:after="0" w:line="264" w:lineRule="auto"/>
            </w:pPr>
            <w:r>
              <w:rPr>
                <w:rFonts w:ascii="Calibri" w:hAnsi="Calibri"/>
                <w:color w:val="334155"/>
                <w:sz w:val="19"/>
              </w:rPr>
              <w:t>Exploitation des failles d'injection SQL et XSS, vecteurs d'exfiltration de base de données.</w:t>
            </w:r>
          </w:p>
        </w:tc>
      </w:tr>
      <w:tr>
        <w:tc>
          <w:tcPr>
            <w:tcW w:type="dxa" w:w="4968"/>
            <w:shd w:fill="F8FAFC"/>
            <w:tcMar>
              <w:top w:w="80" w:type="dxa"/>
              <w:bottom w:w="80" w:type="dxa"/>
              <w:left w:w="120" w:type="dxa"/>
              <w:right w:w="120" w:type="dxa"/>
            </w:tcMar>
          </w:tcPr>
          <w:p>
            <w:pPr>
              <w:spacing w:after="0"/>
            </w:pPr>
            <w:r>
              <w:rPr>
                <w:rFonts w:ascii="Calibri" w:hAnsi="Calibri"/>
                <w:b/>
                <w:color w:val="0F172A"/>
                <w:sz w:val="19"/>
              </w:rPr>
              <w:t>4. Ingénierie sociale</w:t>
            </w:r>
          </w:p>
        </w:tc>
        <w:tc>
          <w:tcPr>
            <w:tcW w:type="dxa" w:w="4968"/>
            <w:shd w:fill="F8FAFC"/>
            <w:tcMar>
              <w:top w:w="80" w:type="dxa"/>
              <w:bottom w:w="80" w:type="dxa"/>
              <w:left w:w="120" w:type="dxa"/>
              <w:right w:w="120" w:type="dxa"/>
            </w:tcMar>
          </w:tcPr>
          <w:p>
            <w:pPr>
              <w:spacing w:after="0" w:line="264" w:lineRule="auto"/>
            </w:pPr>
            <w:r>
              <w:rPr>
                <w:rFonts w:ascii="Calibri" w:hAnsi="Calibri"/>
                <w:color w:val="334155"/>
                <w:sz w:val="19"/>
              </w:rPr>
              <w:t>Mécanismes psychologiques manipulés (urgence, autorité, curiosité) et scénarios d'hameçonnage.</w:t>
            </w:r>
          </w:p>
        </w:tc>
      </w:tr>
      <w:tr>
        <w:tc>
          <w:tcPr>
            <w:tcW w:type="dxa" w:w="4968"/>
            <w:shd w:fill="FFFFFF"/>
            <w:tcMar>
              <w:top w:w="80" w:type="dxa"/>
              <w:bottom w:w="80" w:type="dxa"/>
              <w:left w:w="120" w:type="dxa"/>
              <w:right w:w="120" w:type="dxa"/>
            </w:tcMar>
          </w:tcPr>
          <w:p>
            <w:pPr>
              <w:spacing w:after="0"/>
            </w:pPr>
            <w:r>
              <w:rPr>
                <w:rFonts w:ascii="Calibri" w:hAnsi="Calibri"/>
                <w:b/>
                <w:color w:val="0F172A"/>
                <w:sz w:val="19"/>
              </w:rPr>
              <w:t>Consignes Exercice</w:t>
            </w:r>
          </w:p>
        </w:tc>
        <w:tc>
          <w:tcPr>
            <w:tcW w:type="dxa" w:w="4968"/>
            <w:shd w:fill="FFFFFF"/>
            <w:tcMar>
              <w:top w:w="80" w:type="dxa"/>
              <w:bottom w:w="80" w:type="dxa"/>
              <w:left w:w="120" w:type="dxa"/>
              <w:right w:w="120" w:type="dxa"/>
            </w:tcMar>
          </w:tcPr>
          <w:p>
            <w:pPr>
              <w:spacing w:after="0" w:line="264" w:lineRule="auto"/>
            </w:pPr>
            <w:r>
              <w:rPr>
                <w:rFonts w:ascii="Calibri" w:hAnsi="Calibri"/>
                <w:color w:val="334155"/>
                <w:sz w:val="19"/>
              </w:rPr>
              <w:t>Consignes méthodologiques pour la réalisation de l'exercice pratique sur les attaques Web.</w:t>
            </w:r>
          </w:p>
        </w:tc>
      </w:tr>
    </w:tbl>
    <w:p/>
    <w:p>
      <w:pPr>
        <w:pStyle w:val="Heading2"/>
        <w:spacing w:before="200" w:after="80"/>
      </w:pPr>
      <w:r>
        <w:rPr>
          <w:rFonts w:ascii="Calibri" w:hAnsi="Calibri"/>
          <w:b/>
          <w:color w:val="4C1D95"/>
          <w:sz w:val="26"/>
        </w:rPr>
        <w:t>4. Recommandations Pratiques &amp; Standards Professionnels</w:t>
      </w:r>
    </w:p>
    <w:p>
      <w:pPr>
        <w:pStyle w:val="ListBullet"/>
        <w:spacing w:after="60"/>
      </w:pPr>
      <w:r>
        <w:rPr>
          <w:rFonts w:ascii="Calibri" w:hAnsi="Calibri"/>
          <w:color w:val="1E293B"/>
          <w:sz w:val="20"/>
        </w:rPr>
        <w:t>Déployer un EDR avec analyse comportementale pour contrer les rançongiciels et attaques sans fichier (fileless).</w:t>
      </w:r>
    </w:p>
    <w:p>
      <w:pPr>
        <w:pStyle w:val="ListBullet"/>
        <w:spacing w:after="60"/>
      </w:pPr>
      <w:r>
        <w:rPr>
          <w:rFonts w:ascii="Calibri" w:hAnsi="Calibri"/>
          <w:color w:val="1E293B"/>
          <w:sz w:val="20"/>
        </w:rPr>
        <w:t>Mettre en œuvre le principe du moindre privilège sur tous les postes et serveurs pour limiter les mouvements latéraux.</w:t>
      </w:r>
    </w:p>
    <w:p>
      <w:pPr>
        <w:pStyle w:val="ListBullet"/>
        <w:spacing w:after="60"/>
      </w:pPr>
      <w:r>
        <w:rPr>
          <w:rFonts w:ascii="Calibri" w:hAnsi="Calibri"/>
          <w:color w:val="1E293B"/>
          <w:sz w:val="20"/>
        </w:rPr>
        <w:t>Organiser des campagnes régulières de simulation d'attaques par phishing auprès de l'ensemble du personnel.</w:t>
      </w:r>
    </w:p>
    <w:p/>
    <w:tbl>
      <w:tblPr>
        <w:tblW w:type="auto" w:w="0"/>
        <w:jc w:val="center"/>
        <w:tblLayout w:type="fixed"/>
        <w:tblLook w:firstColumn="1" w:firstRow="1" w:lastColumn="0" w:lastRow="0" w:noHBand="0" w:noVBand="1" w:val="04A0"/>
      </w:tblPr>
      <w:tblGrid>
        <w:gridCol w:w="9360"/>
      </w:tblGrid>
      <w:tr>
        <w:tc>
          <w:tcPr>
            <w:tcW w:type="dxa" w:w="9936"/>
            <w:shd w:fill="F5F3FF"/>
            <w:tcMar>
              <w:top w:w="140" w:type="dxa"/>
              <w:bottom w:w="140" w:type="dxa"/>
              <w:left w:w="200" w:type="dxa"/>
              <w:right w:w="200" w:type="dxa"/>
            </w:tcMar>
            <w:tcBorders>
              <w:left w:val="single" w:sz="24" w:space="0" w:color="7C3AED"/>
              <w:top w:val="none"/>
              <w:right w:val="none"/>
              <w:bottom w:val="none"/>
            </w:tcBorders>
          </w:tcPr>
          <w:p>
            <w:pPr>
              <w:spacing w:before="40" w:after="80"/>
            </w:pPr>
            <w:r>
              <w:rPr>
                <w:rFonts w:ascii="Calibri" w:hAnsi="Calibri"/>
                <w:b/>
                <w:color w:val="4C1D95"/>
                <w:sz w:val="22"/>
              </w:rPr>
              <w:t>📌 Critères de Validation pour le Jury de Certification PASI</w:t>
              <w:br/>
            </w:r>
            <w:r>
              <w:rPr>
                <w:rFonts w:ascii="Calibri" w:hAnsi="Calibri"/>
                <w:color w:val="334155"/>
                <w:sz w:val="20"/>
              </w:rPr>
              <w:t>• Expliquer le mécanisme technique complet d'une attaque par ransomware (vecteur initial, persistance, chiffrement, demande de rançon).</w:t>
              <w:br/>
              <w:t>• Décrire au moins 3 vulnérabilités majeures de l'OWASP Top 10 et présenter leurs contre-mesures techniques respectives.</w:t>
              <w:br/>
              <w:t>• Présenter une démarche rigoureuse pour neutraliser les attaques d'ingénierie sociale.</w:t>
            </w:r>
          </w:p>
        </w:tc>
      </w:tr>
    </w:tbl>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